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396" w:rsidRPr="00C109B3" w:rsidRDefault="00F50396" w:rsidP="00F50396">
      <w:pPr>
        <w:rPr>
          <w:rFonts w:ascii="Times New Roman" w:hAnsi="Times New Roman"/>
          <w:lang w:val="en-US"/>
        </w:rPr>
      </w:pPr>
      <w:r w:rsidRPr="00B33273">
        <w:rPr>
          <w:rFonts w:ascii="Times New Roman" w:hAnsi="Times New Roman"/>
          <w:b/>
          <w:bCs/>
          <w:lang w:val="en-US"/>
        </w:rPr>
        <w:t>Table S5.</w:t>
      </w:r>
      <w:r>
        <w:rPr>
          <w:rFonts w:ascii="Times New Roman" w:hAnsi="Times New Roman"/>
          <w:b/>
          <w:bCs/>
          <w:lang w:val="en-US"/>
        </w:rPr>
        <w:t xml:space="preserve"> The discrimination power of the DNA barcodes recommended for plants.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9"/>
        <w:gridCol w:w="4109"/>
        <w:gridCol w:w="1843"/>
        <w:gridCol w:w="2517"/>
      </w:tblGrid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09B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b/>
                <w:sz w:val="20"/>
                <w:szCs w:val="20"/>
              </w:rPr>
              <w:t>Barcode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b/>
                <w:sz w:val="20"/>
                <w:szCs w:val="20"/>
              </w:rPr>
              <w:t>References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Discrimination power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993D9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†  </w:t>
            </w:r>
            <w:r w:rsidRPr="00C109B3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[%]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matK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[23]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rbcL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[23, 70, 81] 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90.9%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3.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rpoA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[22]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90.9%</w:t>
            </w:r>
          </w:p>
        </w:tc>
      </w:tr>
      <w:tr w:rsidR="00F50396" w:rsidRPr="00C109B3" w:rsidTr="00F21696">
        <w:trPr>
          <w:trHeight w:val="269"/>
        </w:trPr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4.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rpoB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[22, 23, 70, 78]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5.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rpoC1 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[23, 70, 78] 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95.45% 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6.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rpoC2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[22, 67, 68, 69] 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90.9%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7.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ndhF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[28, 99]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09B3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b/>
                <w:i/>
                <w:sz w:val="20"/>
                <w:szCs w:val="20"/>
              </w:rPr>
              <w:t>ndhH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100 %</w:t>
            </w:r>
          </w:p>
        </w:tc>
      </w:tr>
      <w:tr w:rsidR="00F50396" w:rsidRPr="00CA317D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rpl16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[98]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95.45% </w:t>
            </w:r>
          </w:p>
        </w:tc>
      </w:tr>
      <w:tr w:rsidR="00F50396" w:rsidRPr="00CA317D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10.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rps3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[99]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90.9%</w:t>
            </w:r>
          </w:p>
        </w:tc>
      </w:tr>
      <w:tr w:rsidR="00F50396" w:rsidRPr="00CA317D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11.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rps4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[70]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12.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trnK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90.9% 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13.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ycf1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[61, 64]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  <w:tcBorders>
              <w:bottom w:val="single" w:sz="4" w:space="0" w:color="auto"/>
            </w:tcBorders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14.</w:t>
            </w:r>
          </w:p>
        </w:tc>
        <w:tc>
          <w:tcPr>
            <w:tcW w:w="4109" w:type="dxa"/>
            <w:tcBorders>
              <w:bottom w:val="single" w:sz="4" w:space="0" w:color="auto"/>
            </w:tcBorders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ycf2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[29]</w:t>
            </w:r>
          </w:p>
        </w:tc>
        <w:tc>
          <w:tcPr>
            <w:tcW w:w="2517" w:type="dxa"/>
            <w:tcBorders>
              <w:bottom w:val="single" w:sz="4" w:space="0" w:color="auto"/>
            </w:tcBorders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15.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rpl23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match-only 276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bp</w:t>
            </w:r>
            <w:proofErr w:type="spellEnd"/>
          </w:p>
        </w:tc>
      </w:tr>
      <w:tr w:rsidR="00F50396" w:rsidRPr="00CA317D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16.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psbA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[71, 72]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81.81%</w:t>
            </w:r>
          </w:p>
        </w:tc>
      </w:tr>
      <w:tr w:rsidR="00F50396" w:rsidRPr="00CA317D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highlight w:val="green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17.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ndhF-rpl32  (ndhF+rpl21-rpl32 in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Calypogeia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18.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rpl32-ccsA (rpl32-cysT-ccsA u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Calypogeia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81.81%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19.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trnH-psbA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[20, 23, 70, 78]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match - only 131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bp</w:t>
            </w:r>
            <w:proofErr w:type="spellEnd"/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20.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trnL-trnF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[20, 70, 73]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match- only 71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bp</w:t>
            </w:r>
            <w:proofErr w:type="spellEnd"/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21.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trnT-trnL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[28, 73]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100%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22.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rpl32-trnL</w:t>
            </w:r>
          </w:p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(rpl32-cysT-trnL in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Calypogeia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[75, 99]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81.81%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23.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atpF-atpH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[23, 76]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match – only 270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bp</w:t>
            </w:r>
            <w:proofErr w:type="spellEnd"/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24.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psbK-psbI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[23, 28, 76] 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match – only 288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  <w:lang w:val="en-US"/>
              </w:rPr>
              <w:t>bp</w:t>
            </w:r>
            <w:proofErr w:type="spellEnd"/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25.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matK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 xml:space="preserve">+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trnH-psbA</w:t>
            </w:r>
            <w:proofErr w:type="spellEnd"/>
          </w:p>
        </w:tc>
        <w:tc>
          <w:tcPr>
            <w:tcW w:w="1843" w:type="dxa"/>
            <w:vMerge w:val="restart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[22]</w:t>
            </w:r>
          </w:p>
        </w:tc>
        <w:tc>
          <w:tcPr>
            <w:tcW w:w="2517" w:type="dxa"/>
            <w:vMerge w:val="restart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90.9%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26.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matK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 xml:space="preserve">+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rpoA</w:t>
            </w:r>
            <w:proofErr w:type="spellEnd"/>
          </w:p>
        </w:tc>
        <w:tc>
          <w:tcPr>
            <w:tcW w:w="1843" w:type="dxa"/>
            <w:vMerge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7" w:type="dxa"/>
            <w:vMerge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27.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matK</w:t>
            </w:r>
            <w:proofErr w:type="spellEnd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 xml:space="preserve"> + </w:t>
            </w: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rbcL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[23]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95.45%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28.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trnL-trnF+trnH-psbA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[20]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 xml:space="preserve">No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</w:rPr>
              <w:t>match</w:t>
            </w:r>
            <w:proofErr w:type="spellEnd"/>
            <w:r w:rsidRPr="00C109B3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</w:rPr>
              <w:t>only</w:t>
            </w:r>
            <w:proofErr w:type="spellEnd"/>
            <w:r w:rsidRPr="00C109B3">
              <w:rPr>
                <w:rFonts w:ascii="Times New Roman" w:hAnsi="Times New Roman"/>
                <w:sz w:val="20"/>
                <w:szCs w:val="20"/>
              </w:rPr>
              <w:t xml:space="preserve"> 202 bp</w:t>
            </w:r>
          </w:p>
        </w:tc>
      </w:tr>
      <w:tr w:rsidR="00F50396" w:rsidRPr="00C109B3" w:rsidTr="00F21696">
        <w:tc>
          <w:tcPr>
            <w:tcW w:w="819" w:type="dxa"/>
          </w:tcPr>
          <w:p w:rsidR="00F50396" w:rsidRPr="00C109B3" w:rsidRDefault="00F50396" w:rsidP="00F216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>29.</w:t>
            </w:r>
          </w:p>
        </w:tc>
        <w:tc>
          <w:tcPr>
            <w:tcW w:w="4109" w:type="dxa"/>
          </w:tcPr>
          <w:p w:rsidR="00F50396" w:rsidRPr="00C109B3" w:rsidRDefault="00F50396" w:rsidP="00F21696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C109B3">
              <w:rPr>
                <w:rFonts w:ascii="Times New Roman" w:hAnsi="Times New Roman"/>
                <w:i/>
                <w:sz w:val="20"/>
                <w:szCs w:val="20"/>
              </w:rPr>
              <w:t>petA-psbJ</w:t>
            </w:r>
            <w:proofErr w:type="spellEnd"/>
          </w:p>
        </w:tc>
        <w:tc>
          <w:tcPr>
            <w:tcW w:w="1843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[28]</w:t>
            </w:r>
          </w:p>
        </w:tc>
        <w:tc>
          <w:tcPr>
            <w:tcW w:w="2517" w:type="dxa"/>
          </w:tcPr>
          <w:p w:rsidR="00F50396" w:rsidRPr="00C109B3" w:rsidRDefault="00F50396" w:rsidP="00F21696">
            <w:pPr>
              <w:rPr>
                <w:rFonts w:ascii="Times New Roman" w:hAnsi="Times New Roman"/>
                <w:sz w:val="20"/>
                <w:szCs w:val="20"/>
              </w:rPr>
            </w:pPr>
            <w:r w:rsidRPr="00C109B3">
              <w:rPr>
                <w:rFonts w:ascii="Times New Roman" w:hAnsi="Times New Roman"/>
                <w:sz w:val="20"/>
                <w:szCs w:val="20"/>
              </w:rPr>
              <w:t xml:space="preserve">No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</w:rPr>
              <w:t>match</w:t>
            </w:r>
            <w:proofErr w:type="spellEnd"/>
            <w:r w:rsidRPr="00C109B3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C109B3">
              <w:rPr>
                <w:rFonts w:ascii="Times New Roman" w:hAnsi="Times New Roman"/>
                <w:sz w:val="20"/>
                <w:szCs w:val="20"/>
              </w:rPr>
              <w:t>only</w:t>
            </w:r>
            <w:proofErr w:type="spellEnd"/>
            <w:r w:rsidRPr="00C109B3">
              <w:rPr>
                <w:rFonts w:ascii="Times New Roman" w:hAnsi="Times New Roman"/>
                <w:sz w:val="20"/>
                <w:szCs w:val="20"/>
              </w:rPr>
              <w:t xml:space="preserve"> 140 bp</w:t>
            </w:r>
          </w:p>
        </w:tc>
      </w:tr>
    </w:tbl>
    <w:p w:rsidR="00F50396" w:rsidRDefault="00F50396" w:rsidP="00F50396">
      <w:pPr>
        <w:rPr>
          <w:rFonts w:ascii="Times New Roman" w:hAnsi="Times New Roman"/>
          <w:sz w:val="20"/>
          <w:szCs w:val="20"/>
          <w:lang w:val="en-US"/>
        </w:rPr>
      </w:pPr>
      <w:r w:rsidRPr="00993D97">
        <w:rPr>
          <w:rFonts w:ascii="Times New Roman" w:hAnsi="Times New Roman"/>
          <w:sz w:val="20"/>
          <w:szCs w:val="20"/>
          <w:lang w:val="en-US"/>
        </w:rPr>
        <w:t xml:space="preserve">†  </w:t>
      </w:r>
      <w:r w:rsidRPr="001E69F5">
        <w:rPr>
          <w:rFonts w:ascii="Times New Roman" w:hAnsi="Times New Roman"/>
          <w:lang w:val="en-US"/>
        </w:rPr>
        <w:t xml:space="preserve"> </w:t>
      </w:r>
      <w:r w:rsidRPr="000F10D6">
        <w:rPr>
          <w:rFonts w:ascii="Times New Roman" w:hAnsi="Times New Roman"/>
          <w:sz w:val="20"/>
          <w:szCs w:val="20"/>
          <w:lang w:val="en-US"/>
        </w:rPr>
        <w:t>percent of correctly identified sequences</w:t>
      </w:r>
    </w:p>
    <w:p w:rsidR="00F50396" w:rsidRDefault="00F50396" w:rsidP="00F50396">
      <w:pPr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 xml:space="preserve">*Numbers of references according to the main manuscript reference list. </w:t>
      </w:r>
    </w:p>
    <w:p w:rsidR="00F50396" w:rsidRPr="00F50396" w:rsidRDefault="00F50396" w:rsidP="00F50396">
      <w:pPr>
        <w:rPr>
          <w:rFonts w:ascii="Times New Roman" w:hAnsi="Times New Roman"/>
          <w:sz w:val="20"/>
          <w:szCs w:val="20"/>
          <w:lang w:val="en-US"/>
        </w:rPr>
      </w:pPr>
      <w:r w:rsidRPr="00F50396">
        <w:rPr>
          <w:rFonts w:ascii="Times New Roman" w:hAnsi="Times New Roman"/>
          <w:sz w:val="20"/>
          <w:szCs w:val="20"/>
          <w:lang w:val="en-US"/>
        </w:rPr>
        <w:t xml:space="preserve">98.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Cialdella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AM,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Giussani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LM,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Aagesen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L,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Zuloaga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FO,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Morrone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O. A phylogeny of </w:t>
      </w:r>
      <w:proofErr w:type="spellStart"/>
      <w:r w:rsidRPr="00F50396">
        <w:rPr>
          <w:rFonts w:ascii="Times New Roman" w:hAnsi="Times New Roman"/>
          <w:i/>
          <w:sz w:val="20"/>
          <w:szCs w:val="20"/>
          <w:lang w:val="en-US"/>
        </w:rPr>
        <w:t>Piptochaetium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 (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Poaceae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: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Pooideae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: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Stipeae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 xml:space="preserve">) and related genera based on a combined analysis including </w:t>
      </w:r>
      <w:proofErr w:type="spellStart"/>
      <w:r w:rsidRPr="00F50396">
        <w:rPr>
          <w:rFonts w:ascii="Times New Roman" w:hAnsi="Times New Roman"/>
          <w:i/>
          <w:sz w:val="20"/>
          <w:szCs w:val="20"/>
          <w:lang w:val="en-US"/>
        </w:rPr>
        <w:t>trnL</w:t>
      </w:r>
      <w:proofErr w:type="spellEnd"/>
      <w:r w:rsidRPr="00F50396">
        <w:rPr>
          <w:rFonts w:ascii="Times New Roman" w:hAnsi="Times New Roman"/>
          <w:i/>
          <w:sz w:val="20"/>
          <w:szCs w:val="20"/>
          <w:lang w:val="en-US"/>
        </w:rPr>
        <w:t>-F</w:t>
      </w:r>
      <w:r w:rsidRPr="00F50396">
        <w:rPr>
          <w:rFonts w:ascii="Times New Roman" w:hAnsi="Times New Roman"/>
          <w:sz w:val="20"/>
          <w:szCs w:val="20"/>
          <w:lang w:val="en-US"/>
        </w:rPr>
        <w:t xml:space="preserve">, </w:t>
      </w:r>
      <w:r w:rsidRPr="00F50396">
        <w:rPr>
          <w:rFonts w:ascii="Times New Roman" w:hAnsi="Times New Roman"/>
          <w:i/>
          <w:sz w:val="20"/>
          <w:szCs w:val="20"/>
          <w:lang w:val="en-US"/>
        </w:rPr>
        <w:t>rpl16</w:t>
      </w:r>
      <w:r w:rsidRPr="00F50396">
        <w:rPr>
          <w:rFonts w:ascii="Times New Roman" w:hAnsi="Times New Roman"/>
          <w:sz w:val="20"/>
          <w:szCs w:val="20"/>
          <w:lang w:val="en-US"/>
        </w:rPr>
        <w:t xml:space="preserve">, and morphology. Sys Bot. 2007; 32(3):545-559; </w:t>
      </w:r>
      <w:proofErr w:type="spellStart"/>
      <w:r w:rsidRPr="00F50396">
        <w:rPr>
          <w:rFonts w:ascii="Times New Roman" w:hAnsi="Times New Roman"/>
          <w:sz w:val="20"/>
          <w:szCs w:val="20"/>
          <w:lang w:val="en-US"/>
        </w:rPr>
        <w:t>doi</w:t>
      </w:r>
      <w:proofErr w:type="spellEnd"/>
      <w:r w:rsidRPr="00F50396">
        <w:rPr>
          <w:rFonts w:ascii="Times New Roman" w:hAnsi="Times New Roman"/>
          <w:sz w:val="20"/>
          <w:szCs w:val="20"/>
          <w:lang w:val="en-US"/>
        </w:rPr>
        <w:t>: 10.1600/036364407782250607.</w:t>
      </w:r>
    </w:p>
    <w:p w:rsidR="00F50396" w:rsidRPr="00F50396" w:rsidRDefault="00F50396" w:rsidP="00F50396">
      <w:pPr>
        <w:rPr>
          <w:rFonts w:ascii="Times New Roman" w:hAnsi="Times New Roman"/>
          <w:sz w:val="20"/>
          <w:szCs w:val="20"/>
          <w:lang w:val="pt-BR"/>
        </w:rPr>
      </w:pPr>
      <w:r w:rsidRPr="00F50396">
        <w:rPr>
          <w:rFonts w:ascii="Times New Roman" w:hAnsi="Times New Roman"/>
          <w:sz w:val="20"/>
          <w:szCs w:val="20"/>
          <w:lang w:val="pt-BR"/>
        </w:rPr>
        <w:t>99. Romaschenko K, Peterson PM, Robert J, Soreng RJ, Garcia-Jacas N, Futorna O, Susanna A. Systematics and evolution of the needle grasses (Poaceae: Pooideae: Stipeae) based on analysis of multiple chloroplast loci, ITS, and lemma micromorphology. Taxon. 2012; 61(1):18-44; doi: 10.1002/tax.611002.</w:t>
      </w:r>
    </w:p>
    <w:p w:rsidR="00F50396" w:rsidRPr="000F10D6" w:rsidRDefault="00F50396" w:rsidP="00F50396">
      <w:pPr>
        <w:rPr>
          <w:rFonts w:ascii="Times New Roman" w:hAnsi="Times New Roman"/>
          <w:sz w:val="20"/>
          <w:szCs w:val="20"/>
          <w:lang w:val="en-US"/>
        </w:rPr>
      </w:pPr>
    </w:p>
    <w:p w:rsidR="00F50396" w:rsidRPr="00F50396" w:rsidRDefault="00F50396" w:rsidP="00F50396">
      <w:pPr>
        <w:rPr>
          <w:rFonts w:ascii="Times New Roman" w:hAnsi="Times New Roman"/>
          <w:sz w:val="20"/>
          <w:szCs w:val="20"/>
          <w:lang w:val="en-US"/>
        </w:rPr>
      </w:pPr>
    </w:p>
    <w:p w:rsidR="00501E7A" w:rsidRPr="00F50396" w:rsidRDefault="00501E7A">
      <w:pPr>
        <w:rPr>
          <w:rFonts w:ascii="Times New Roman" w:hAnsi="Times New Roman"/>
          <w:sz w:val="24"/>
          <w:szCs w:val="24"/>
          <w:lang w:val="en-US"/>
        </w:rPr>
      </w:pPr>
    </w:p>
    <w:sectPr w:rsidR="00501E7A" w:rsidRPr="00F50396" w:rsidSect="0050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50396"/>
    <w:rsid w:val="00501E7A"/>
    <w:rsid w:val="00F50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0396"/>
    <w:pPr>
      <w:spacing w:after="0"/>
      <w:jc w:val="both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1574</Characters>
  <Application>Microsoft Office Word</Application>
  <DocSecurity>0</DocSecurity>
  <Lines>13</Lines>
  <Paragraphs>3</Paragraphs>
  <ScaleCrop>false</ScaleCrop>
  <Company>HP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Ś</dc:creator>
  <cp:lastModifiedBy>Monika Ś</cp:lastModifiedBy>
  <cp:revision>1</cp:revision>
  <dcterms:created xsi:type="dcterms:W3CDTF">2019-11-08T14:07:00Z</dcterms:created>
  <dcterms:modified xsi:type="dcterms:W3CDTF">2019-11-08T14:11:00Z</dcterms:modified>
</cp:coreProperties>
</file>